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media/image1.png" ContentType="image/png"/>
  <Override PartName="/word/media/image2.png" ContentType="image/png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left"/>
        <w:rPr>
          <w:rFonts w:ascii="Tahoma-Bold" w:hAnsi="Tahoma-Bold"/>
          <w:b/>
          <w:sz w:val="22"/>
        </w:rPr>
      </w:pPr>
      <w:r>
        <w:rPr/>
      </w:r>
    </w:p>
    <w:tbl>
      <w:tblPr>
        <w:tblStyle w:val="Tabelacomgrade"/>
        <w:tblpPr w:bottomFromText="0" w:horzAnchor="margin" w:leftFromText="141" w:rightFromText="141" w:tblpX="0" w:tblpXSpec="center" w:tblpY="240" w:topFromText="0" w:vertAnchor="text"/>
        <w:tblW w:w="10158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1514"/>
        <w:gridCol w:w="2137"/>
        <w:gridCol w:w="1425"/>
        <w:gridCol w:w="1977"/>
        <w:gridCol w:w="51"/>
        <w:gridCol w:w="2058"/>
        <w:gridCol w:w="996"/>
      </w:tblGrid>
      <w:tr>
        <w:trPr>
          <w:trHeight w:val="1124" w:hRule="atLeast"/>
        </w:trPr>
        <w:tc>
          <w:tcPr>
            <w:tcW w:w="10158" w:type="dxa"/>
            <w:gridSpan w:val="7"/>
            <w:tcBorders/>
          </w:tcPr>
          <w:p>
            <w:pPr>
              <w:pStyle w:val="Normal"/>
              <w:widowControl/>
              <w:bidi w:val="0"/>
              <w:spacing w:lineRule="auto" w:line="240" w:before="0" w:after="0"/>
              <w:jc w:val="center"/>
              <w:rPr>
                <w:rFonts w:ascii="Arial" w:hAnsi="Arial" w:eastAsia="Times New Roman" w:cs="Arial"/>
                <w:b/>
                <w:sz w:val="24"/>
                <w:szCs w:val="24"/>
              </w:rPr>
            </w:pPr>
            <w:r>
              <w:rPr>
                <w:rFonts w:eastAsia="Times New Roman" w:cs="Arial" w:ascii="Arial" w:hAnsi="Arial"/>
                <w:b/>
                <w:kern w:val="0"/>
                <w:sz w:val="24"/>
                <w:szCs w:val="24"/>
                <w:lang w:val="pt-BR" w:eastAsia="en-US" w:bidi="ar-SA"/>
              </w:rPr>
            </w:r>
          </w:p>
          <w:p>
            <w:pPr>
              <w:pStyle w:val="Normal"/>
              <w:widowControl/>
              <w:bidi w:val="0"/>
              <w:spacing w:lineRule="auto" w:line="240" w:before="0" w:after="0"/>
              <w:jc w:val="center"/>
              <w:rPr>
                <w:rFonts w:ascii="Arial" w:hAnsi="Arial" w:eastAsia="Times New Roman" w:cs="Arial"/>
                <w:b/>
                <w:sz w:val="24"/>
                <w:szCs w:val="24"/>
              </w:rPr>
            </w:pPr>
            <w:r>
              <w:drawing>
                <wp:anchor behindDoc="0" distT="0" distB="0" distL="0" distR="0" simplePos="0" locked="0" layoutInCell="1" allowOverlap="1" relativeHeight="2">
                  <wp:simplePos x="0" y="0"/>
                  <wp:positionH relativeFrom="page">
                    <wp:posOffset>80010</wp:posOffset>
                  </wp:positionH>
                  <wp:positionV relativeFrom="page">
                    <wp:posOffset>43180</wp:posOffset>
                  </wp:positionV>
                  <wp:extent cx="914400" cy="638175"/>
                  <wp:effectExtent l="0" t="0" r="0" b="0"/>
                  <wp:wrapNone/>
                  <wp:docPr id="1" name="Figura3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Figura3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638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eastAsia="Times New Roman" w:cs="Arial" w:ascii="Arial" w:hAnsi="Arial"/>
                <w:b/>
                <w:kern w:val="0"/>
                <w:sz w:val="24"/>
                <w:szCs w:val="24"/>
                <w:lang w:val="pt-BR" w:eastAsia="en-US" w:bidi="ar-SA"/>
              </w:rPr>
              <w:t xml:space="preserve">ESCOLA ESTADUAL HELENA GUERRA              </w:t>
            </w:r>
          </w:p>
          <w:p>
            <w:pPr>
              <w:pStyle w:val="Normal"/>
              <w:widowControl/>
              <w:tabs>
                <w:tab w:val="clear" w:pos="709"/>
                <w:tab w:val="left" w:pos="465" w:leader="none"/>
                <w:tab w:val="left" w:pos="678" w:leader="none"/>
                <w:tab w:val="left" w:pos="1827" w:leader="none"/>
                <w:tab w:val="center" w:pos="4971" w:leader="none"/>
              </w:tabs>
              <w:bidi w:val="0"/>
              <w:spacing w:lineRule="auto" w:line="240" w:before="0" w:after="0"/>
              <w:jc w:val="left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pt-BR" w:eastAsia="en-US" w:bidi="ar-SA"/>
              </w:rPr>
              <w:tab/>
              <w:tab/>
              <w:tab/>
              <w:t>Criada pelo Decreto Nº. 5.742 de 13/01/1960 da S. E. E. de Minas Gerais</w:t>
            </w:r>
          </w:p>
          <w:p>
            <w:pPr>
              <w:pStyle w:val="Normal"/>
              <w:widowControl/>
              <w:tabs>
                <w:tab w:val="clear" w:pos="709"/>
                <w:tab w:val="left" w:pos="1186" w:leader="none"/>
              </w:tabs>
              <w:bidi w:val="0"/>
              <w:spacing w:lineRule="auto" w:line="240" w:before="0" w:after="0"/>
              <w:jc w:val="center"/>
              <w:rPr>
                <w:rFonts w:ascii="Arial" w:hAnsi="Arial" w:eastAsia="Times New Roman" w:cs="Arial"/>
                <w:sz w:val="24"/>
                <w:szCs w:val="24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pt-BR" w:eastAsia="en-US" w:bidi="ar-SA"/>
              </w:rPr>
              <w:t>Rua: Madre Margherita Fontanarosa, 271- Eldorado- Contagem – MG</w:t>
            </w:r>
          </w:p>
        </w:tc>
      </w:tr>
      <w:tr>
        <w:trPr>
          <w:trHeight w:val="193" w:hRule="atLeast"/>
        </w:trPr>
        <w:tc>
          <w:tcPr>
            <w:tcW w:w="1514" w:type="dxa"/>
            <w:tcBorders/>
          </w:tcPr>
          <w:p>
            <w:pPr>
              <w:pStyle w:val="Normal"/>
              <w:widowControl/>
              <w:bidi w:val="0"/>
              <w:spacing w:lineRule="auto" w:line="240" w:before="0" w:after="0"/>
              <w:jc w:val="left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>
              <w:rPr>
                <w:rFonts w:eastAsia="Calibri" w:cs="Arial" w:ascii="Arial" w:hAnsi="Arial"/>
                <w:b/>
                <w:color w:val="000000" w:themeColor="text1"/>
                <w:kern w:val="0"/>
                <w:sz w:val="24"/>
                <w:szCs w:val="24"/>
                <w:lang w:val="pt-BR" w:eastAsia="en-US" w:bidi="ar-SA"/>
              </w:rPr>
              <w:t>ANO: 202</w:t>
            </w:r>
            <w:r>
              <w:rPr>
                <w:rFonts w:eastAsia="Calibri" w:cs="Arial" w:ascii="Arial" w:hAnsi="Arial"/>
                <w:b/>
                <w:color w:val="000000" w:themeColor="text1"/>
                <w:kern w:val="0"/>
                <w:sz w:val="24"/>
                <w:szCs w:val="24"/>
                <w:lang w:val="pt-BR" w:eastAsia="en-US" w:bidi="ar-SA"/>
              </w:rPr>
              <w:t>3</w:t>
            </w:r>
          </w:p>
        </w:tc>
        <w:tc>
          <w:tcPr>
            <w:tcW w:w="5590" w:type="dxa"/>
            <w:gridSpan w:val="4"/>
            <w:tcBorders/>
          </w:tcPr>
          <w:p>
            <w:pPr>
              <w:pStyle w:val="Normal"/>
              <w:widowControl/>
              <w:bidi w:val="0"/>
              <w:spacing w:lineRule="auto" w:line="240" w:before="0" w:after="0"/>
              <w:jc w:val="left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>
              <w:rPr>
                <w:rFonts w:eastAsia="Calibri" w:cs="Arial" w:ascii="Arial" w:hAnsi="Arial"/>
                <w:b/>
                <w:color w:val="000000" w:themeColor="text1"/>
                <w:kern w:val="0"/>
                <w:sz w:val="24"/>
                <w:szCs w:val="24"/>
                <w:lang w:val="pt-BR" w:eastAsia="en-US" w:bidi="ar-SA"/>
              </w:rPr>
              <w:t>ATIVIDADE:</w:t>
            </w:r>
          </w:p>
        </w:tc>
        <w:tc>
          <w:tcPr>
            <w:tcW w:w="2058" w:type="dxa"/>
            <w:tcBorders/>
          </w:tcPr>
          <w:p>
            <w:pPr>
              <w:pStyle w:val="Normal"/>
              <w:widowControl/>
              <w:bidi w:val="0"/>
              <w:spacing w:lineRule="auto" w:line="240" w:before="0" w:after="0"/>
              <w:jc w:val="left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>
              <w:rPr>
                <w:rFonts w:eastAsia="Calibri" w:cs="Arial" w:ascii="Arial" w:hAnsi="Arial"/>
                <w:b/>
                <w:color w:val="000000" w:themeColor="text1"/>
                <w:kern w:val="0"/>
                <w:sz w:val="24"/>
                <w:szCs w:val="24"/>
                <w:lang w:val="pt-BR" w:eastAsia="en-US" w:bidi="ar-SA"/>
              </w:rPr>
              <w:t xml:space="preserve">VALOR: </w:t>
            </w:r>
          </w:p>
        </w:tc>
        <w:tc>
          <w:tcPr>
            <w:tcW w:w="996" w:type="dxa"/>
            <w:vMerge w:val="restart"/>
            <w:tcBorders/>
          </w:tcPr>
          <w:p>
            <w:pPr>
              <w:pStyle w:val="Normal"/>
              <w:widowControl/>
              <w:bidi w:val="0"/>
              <w:spacing w:lineRule="auto" w:line="240" w:before="0" w:after="0"/>
              <w:jc w:val="left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>
              <w:rPr>
                <w:rFonts w:eastAsia="Calibri" w:cs="Arial" w:ascii="Arial" w:hAnsi="Arial"/>
                <w:b/>
                <w:color w:val="000000" w:themeColor="text1"/>
                <w:kern w:val="0"/>
                <w:sz w:val="24"/>
                <w:szCs w:val="24"/>
                <w:lang w:val="pt-BR" w:eastAsia="en-US" w:bidi="ar-SA"/>
              </w:rPr>
              <w:t>NOTA:</w:t>
            </w:r>
          </w:p>
        </w:tc>
      </w:tr>
      <w:tr>
        <w:trPr>
          <w:trHeight w:val="198" w:hRule="atLeast"/>
        </w:trPr>
        <w:tc>
          <w:tcPr>
            <w:tcW w:w="5076" w:type="dxa"/>
            <w:gridSpan w:val="3"/>
            <w:tcBorders/>
          </w:tcPr>
          <w:p>
            <w:pPr>
              <w:pStyle w:val="Normal"/>
              <w:widowControl/>
              <w:bidi w:val="0"/>
              <w:spacing w:lineRule="auto" w:line="240" w:before="0" w:after="0"/>
              <w:jc w:val="left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>
              <w:rPr>
                <w:rFonts w:eastAsia="Calibri" w:cs="Arial" w:ascii="Arial" w:hAnsi="Arial"/>
                <w:b/>
                <w:color w:val="000000" w:themeColor="text1"/>
                <w:kern w:val="0"/>
                <w:sz w:val="24"/>
                <w:szCs w:val="24"/>
                <w:lang w:val="pt-BR" w:eastAsia="en-US" w:bidi="ar-SA"/>
              </w:rPr>
              <w:t>PROFESSOR</w:t>
            </w:r>
            <w:r>
              <w:rPr>
                <w:rFonts w:eastAsia="Calibri" w:cs="Arial" w:ascii="Arial" w:hAnsi="Arial"/>
                <w:b/>
                <w:color w:val="000000" w:themeColor="text1"/>
                <w:kern w:val="0"/>
                <w:sz w:val="24"/>
                <w:szCs w:val="24"/>
                <w:lang w:val="pt-BR" w:eastAsia="en-US" w:bidi="ar-SA"/>
              </w:rPr>
              <w:t>A: Conceição Pereira</w:t>
            </w:r>
          </w:p>
        </w:tc>
        <w:tc>
          <w:tcPr>
            <w:tcW w:w="4086" w:type="dxa"/>
            <w:gridSpan w:val="3"/>
            <w:tcBorders/>
          </w:tcPr>
          <w:p>
            <w:pPr>
              <w:pStyle w:val="Normal"/>
              <w:widowControl/>
              <w:bidi w:val="0"/>
              <w:spacing w:lineRule="auto" w:line="240" w:before="0" w:after="0"/>
              <w:jc w:val="left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>
              <w:rPr>
                <w:rFonts w:eastAsia="Calibri" w:cs="Arial" w:ascii="Arial" w:hAnsi="Arial"/>
                <w:b/>
                <w:color w:val="000000" w:themeColor="text1"/>
                <w:kern w:val="0"/>
                <w:sz w:val="24"/>
                <w:szCs w:val="24"/>
                <w:lang w:val="pt-BR" w:eastAsia="en-US" w:bidi="ar-SA"/>
              </w:rPr>
              <w:t xml:space="preserve">DISCIPLINA: </w:t>
            </w:r>
            <w:r>
              <w:rPr>
                <w:rFonts w:eastAsia="Calibri" w:cs="Arial" w:ascii="Arial" w:hAnsi="Arial"/>
                <w:b/>
                <w:color w:val="000000" w:themeColor="text1"/>
                <w:kern w:val="0"/>
                <w:sz w:val="24"/>
                <w:szCs w:val="24"/>
                <w:lang w:val="pt-BR" w:eastAsia="en-US" w:bidi="ar-SA"/>
              </w:rPr>
              <w:t>Construção coletiva nos diversos espaços</w:t>
            </w:r>
          </w:p>
        </w:tc>
        <w:tc>
          <w:tcPr>
            <w:tcW w:w="996" w:type="dxa"/>
            <w:vMerge w:val="continue"/>
            <w:tcBorders/>
          </w:tcPr>
          <w:p>
            <w:pPr>
              <w:pStyle w:val="Normal"/>
              <w:widowControl/>
              <w:bidi w:val="0"/>
              <w:spacing w:lineRule="auto" w:line="240" w:before="0" w:after="0"/>
              <w:jc w:val="left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>
              <w:rPr>
                <w:rFonts w:eastAsia="Calibri" w:cs="Arial" w:ascii="Arial" w:hAnsi="Arial"/>
                <w:b/>
                <w:color w:val="000000" w:themeColor="text1"/>
                <w:kern w:val="0"/>
                <w:sz w:val="24"/>
                <w:szCs w:val="24"/>
                <w:lang w:val="pt-BR" w:eastAsia="en-US" w:bidi="ar-SA"/>
              </w:rPr>
            </w:r>
          </w:p>
        </w:tc>
      </w:tr>
      <w:tr>
        <w:trPr>
          <w:trHeight w:val="198" w:hRule="atLeast"/>
        </w:trPr>
        <w:tc>
          <w:tcPr>
            <w:tcW w:w="9162" w:type="dxa"/>
            <w:gridSpan w:val="6"/>
            <w:tcBorders/>
          </w:tcPr>
          <w:p>
            <w:pPr>
              <w:pStyle w:val="Normal"/>
              <w:widowControl/>
              <w:bidi w:val="0"/>
              <w:spacing w:lineRule="auto" w:line="240" w:before="0" w:after="0"/>
              <w:jc w:val="left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>
              <w:rPr>
                <w:rFonts w:eastAsia="Calibri" w:cs="Arial" w:ascii="Arial" w:hAnsi="Arial"/>
                <w:b/>
                <w:color w:val="000000" w:themeColor="text1"/>
                <w:kern w:val="0"/>
                <w:sz w:val="24"/>
                <w:szCs w:val="24"/>
                <w:lang w:val="pt-BR" w:eastAsia="en-US" w:bidi="ar-SA"/>
              </w:rPr>
              <w:t xml:space="preserve">ESTUDANTE: </w:t>
            </w:r>
          </w:p>
        </w:tc>
        <w:tc>
          <w:tcPr>
            <w:tcW w:w="996" w:type="dxa"/>
            <w:vMerge w:val="continue"/>
            <w:tcBorders/>
          </w:tcPr>
          <w:p>
            <w:pPr>
              <w:pStyle w:val="Normal"/>
              <w:widowControl/>
              <w:bidi w:val="0"/>
              <w:spacing w:lineRule="auto" w:line="240" w:before="0" w:after="0"/>
              <w:jc w:val="left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>
              <w:rPr>
                <w:rFonts w:eastAsia="Calibri" w:cs="Arial" w:ascii="Arial" w:hAnsi="Arial"/>
                <w:b/>
                <w:color w:val="000000" w:themeColor="text1"/>
                <w:kern w:val="0"/>
                <w:sz w:val="24"/>
                <w:szCs w:val="24"/>
                <w:lang w:val="pt-BR" w:eastAsia="en-US" w:bidi="ar-SA"/>
              </w:rPr>
            </w:r>
          </w:p>
        </w:tc>
      </w:tr>
      <w:tr>
        <w:trPr>
          <w:trHeight w:val="148" w:hRule="atLeast"/>
        </w:trPr>
        <w:tc>
          <w:tcPr>
            <w:tcW w:w="3651" w:type="dxa"/>
            <w:gridSpan w:val="2"/>
            <w:tcBorders/>
          </w:tcPr>
          <w:p>
            <w:pPr>
              <w:pStyle w:val="Normal"/>
              <w:widowControl/>
              <w:bidi w:val="0"/>
              <w:spacing w:lineRule="auto" w:line="240" w:before="0" w:after="0"/>
              <w:jc w:val="left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>
              <w:rPr>
                <w:rFonts w:eastAsia="Calibri" w:cs="Arial" w:ascii="Arial" w:hAnsi="Arial"/>
                <w:b/>
                <w:color w:val="000000" w:themeColor="text1"/>
                <w:kern w:val="0"/>
                <w:sz w:val="24"/>
                <w:szCs w:val="24"/>
                <w:lang w:val="pt-BR" w:eastAsia="en-US" w:bidi="ar-SA"/>
              </w:rPr>
              <w:t xml:space="preserve">TURMA(S): </w:t>
            </w:r>
            <w:r>
              <w:rPr>
                <w:rFonts w:eastAsia="Calibri" w:cs="Arial" w:ascii="Arial" w:hAnsi="Arial"/>
                <w:b/>
                <w:color w:val="000000" w:themeColor="text1"/>
                <w:kern w:val="0"/>
                <w:sz w:val="24"/>
                <w:szCs w:val="24"/>
                <w:lang w:val="pt-BR" w:eastAsia="en-US" w:bidi="ar-SA"/>
              </w:rPr>
              <w:t>203 e 204</w:t>
            </w:r>
            <w:r>
              <w:rPr>
                <w:rFonts w:eastAsia="Calibri" w:cs="Arial" w:ascii="Arial" w:hAnsi="Arial"/>
                <w:b/>
                <w:color w:val="000000" w:themeColor="text1"/>
                <w:kern w:val="0"/>
                <w:sz w:val="24"/>
                <w:szCs w:val="24"/>
                <w:lang w:val="pt-BR" w:eastAsia="en-US" w:bidi="ar-SA"/>
              </w:rPr>
              <w:t xml:space="preserve">    </w:t>
            </w:r>
          </w:p>
        </w:tc>
        <w:tc>
          <w:tcPr>
            <w:tcW w:w="3402" w:type="dxa"/>
            <w:gridSpan w:val="2"/>
            <w:tcBorders/>
          </w:tcPr>
          <w:p>
            <w:pPr>
              <w:pStyle w:val="Normal"/>
              <w:widowControl/>
              <w:bidi w:val="0"/>
              <w:spacing w:lineRule="auto" w:line="240" w:before="0" w:after="0"/>
              <w:jc w:val="left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>
              <w:rPr>
                <w:rFonts w:eastAsia="Calibri" w:cs="Arial" w:ascii="Arial" w:hAnsi="Arial"/>
                <w:b/>
                <w:color w:val="000000" w:themeColor="text1"/>
                <w:kern w:val="0"/>
                <w:sz w:val="24"/>
                <w:szCs w:val="24"/>
                <w:lang w:val="pt-BR" w:eastAsia="en-US" w:bidi="ar-SA"/>
              </w:rPr>
              <w:t xml:space="preserve">   </w:t>
            </w:r>
            <w:r>
              <w:rPr>
                <w:rFonts w:eastAsia="Calibri" w:cs="Arial" w:ascii="Arial" w:hAnsi="Arial"/>
                <w:b/>
                <w:color w:val="000000" w:themeColor="text1"/>
                <w:kern w:val="0"/>
                <w:sz w:val="24"/>
                <w:szCs w:val="24"/>
                <w:lang w:val="pt-BR" w:eastAsia="en-US" w:bidi="ar-SA"/>
              </w:rPr>
              <w:t>2</w:t>
            </w:r>
            <w:r>
              <w:rPr>
                <w:rFonts w:eastAsia="Calibri" w:cs="Arial" w:ascii="Arial" w:hAnsi="Arial"/>
                <w:b/>
                <w:color w:val="000000" w:themeColor="text1"/>
                <w:kern w:val="0"/>
                <w:sz w:val="24"/>
                <w:szCs w:val="24"/>
                <w:lang w:val="pt-BR" w:eastAsia="en-US" w:bidi="ar-SA"/>
              </w:rPr>
              <w:t xml:space="preserve">º ANO </w:t>
            </w:r>
            <w:r>
              <w:rPr>
                <w:rFonts w:eastAsia="Calibri" w:cs="Arial" w:ascii="Arial" w:hAnsi="Arial"/>
                <w:b/>
                <w:color w:val="000000" w:themeColor="text1"/>
                <w:kern w:val="0"/>
                <w:sz w:val="24"/>
                <w:szCs w:val="24"/>
                <w:lang w:val="pt-BR" w:eastAsia="en-US" w:bidi="ar-SA"/>
              </w:rPr>
              <w:t>EM</w:t>
            </w:r>
          </w:p>
        </w:tc>
        <w:tc>
          <w:tcPr>
            <w:tcW w:w="2109" w:type="dxa"/>
            <w:gridSpan w:val="2"/>
            <w:tcBorders/>
          </w:tcPr>
          <w:p>
            <w:pPr>
              <w:pStyle w:val="Normal"/>
              <w:widowControl/>
              <w:bidi w:val="0"/>
              <w:spacing w:lineRule="auto" w:line="240" w:before="0" w:after="0"/>
              <w:jc w:val="left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>
              <w:rPr>
                <w:rFonts w:eastAsia="Calibri" w:cs="Arial" w:ascii="Arial" w:hAnsi="Arial"/>
                <w:b/>
                <w:color w:val="000000" w:themeColor="text1"/>
                <w:kern w:val="0"/>
                <w:sz w:val="24"/>
                <w:szCs w:val="24"/>
                <w:lang w:val="pt-BR" w:eastAsia="en-US" w:bidi="ar-SA"/>
              </w:rPr>
              <w:t>DATA:</w:t>
            </w:r>
          </w:p>
        </w:tc>
        <w:tc>
          <w:tcPr>
            <w:tcW w:w="996" w:type="dxa"/>
            <w:vMerge w:val="continue"/>
            <w:tcBorders/>
          </w:tcPr>
          <w:p>
            <w:pPr>
              <w:pStyle w:val="Normal"/>
              <w:widowControl/>
              <w:bidi w:val="0"/>
              <w:spacing w:lineRule="auto" w:line="240" w:before="0" w:after="0"/>
              <w:jc w:val="left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>
              <w:rPr>
                <w:rFonts w:eastAsia="Calibri" w:cs="Arial" w:ascii="Arial" w:hAnsi="Arial"/>
                <w:b/>
                <w:color w:val="000000" w:themeColor="text1"/>
                <w:kern w:val="0"/>
                <w:sz w:val="24"/>
                <w:szCs w:val="24"/>
                <w:lang w:val="pt-BR" w:eastAsia="en-US" w:bidi="ar-SA"/>
              </w:rPr>
            </w:r>
          </w:p>
        </w:tc>
      </w:tr>
    </w:tbl>
    <w:p>
      <w:pPr>
        <w:pStyle w:val="Normal"/>
        <w:bidi w:val="0"/>
        <w:jc w:val="left"/>
        <w:rPr>
          <w:rFonts w:ascii="Tahoma-Bold" w:hAnsi="Tahoma-Bold"/>
          <w:b/>
          <w:sz w:val="22"/>
        </w:rPr>
      </w:pPr>
      <w:r>
        <w:rPr/>
      </w:r>
    </w:p>
    <w:p>
      <w:pPr>
        <w:pStyle w:val="Normal"/>
        <w:bidi w:val="0"/>
        <w:jc w:val="left"/>
        <w:rPr>
          <w:rFonts w:ascii="Tahoma-Bold" w:hAnsi="Tahoma-Bold"/>
          <w:b/>
          <w:sz w:val="22"/>
        </w:rPr>
      </w:pPr>
      <w:r>
        <w:rPr>
          <w:rFonts w:ascii="Times New Roman" w:hAnsi="Times New Roman"/>
          <w:b/>
          <w:sz w:val="24"/>
          <w:szCs w:val="24"/>
        </w:rPr>
        <w:t>Responda as questões que se encontram no material abaixo em folhas separadas  e manuscritas. Entregar até o dia 28 de setembro  às 12:20.</w:t>
      </w:r>
    </w:p>
    <w:p>
      <w:pPr>
        <w:pStyle w:val="Normal"/>
        <w:bidi w:val="0"/>
        <w:jc w:val="left"/>
        <w:rPr>
          <w:rFonts w:ascii="Tahoma-Bold" w:hAnsi="Tahoma-Bold"/>
          <w:b/>
          <w:sz w:val="22"/>
        </w:rPr>
      </w:pPr>
      <w:r>
        <w:rPr>
          <w:rFonts w:ascii="Times New Roman" w:hAnsi="Times New Roman"/>
          <w:sz w:val="24"/>
          <w:szCs w:val="24"/>
        </w:rPr>
        <w:drawing>
          <wp:anchor behindDoc="0" distT="0" distB="0" distL="0" distR="0" simplePos="0" locked="0" layoutInCell="0" allowOverlap="1" relativeHeight="3">
            <wp:simplePos x="0" y="0"/>
            <wp:positionH relativeFrom="column">
              <wp:posOffset>-295910</wp:posOffset>
            </wp:positionH>
            <wp:positionV relativeFrom="paragraph">
              <wp:posOffset>115570</wp:posOffset>
            </wp:positionV>
            <wp:extent cx="1704975" cy="2009140"/>
            <wp:effectExtent l="0" t="0" r="0" b="0"/>
            <wp:wrapSquare wrapText="largest"/>
            <wp:docPr id="2" name="Figura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ura1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4975" cy="20091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bidi w:val="0"/>
        <w:jc w:val="left"/>
        <w:rPr>
          <w:rFonts w:ascii="Tahoma-Bold" w:hAnsi="Tahoma-Bold"/>
          <w:b/>
          <w:sz w:val="22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bidi w:val="0"/>
        <w:jc w:val="left"/>
        <w:rPr>
          <w:rFonts w:ascii="Tahoma" w:hAnsi="Tahoma"/>
          <w:sz w:val="22"/>
        </w:rPr>
      </w:pPr>
      <w:r>
        <w:rPr>
          <w:rFonts w:ascii="Times New Roman" w:hAnsi="Times New Roman"/>
          <w:sz w:val="24"/>
          <w:szCs w:val="24"/>
        </w:rPr>
        <w:t>Você sabia que existe uma legislação específica sobre os resíduos sólidos? É a Política Nacional de Resíduos Sólidos, regulamentada pela lei 12.305, de 02 de agosto 2010 (Disponível em: https://www.planalto.gov.br/ccivil_03/_ato20072010/2010/lei/l12305.htm).</w:t>
      </w:r>
    </w:p>
    <w:p>
      <w:pPr>
        <w:pStyle w:val="Normal"/>
        <w:bidi w:val="0"/>
        <w:jc w:val="left"/>
        <w:rPr>
          <w:rFonts w:ascii="Tahoma" w:hAnsi="Tahoma"/>
          <w:sz w:val="18"/>
        </w:rPr>
      </w:pPr>
      <w:r>
        <w:rPr>
          <w:rFonts w:ascii="Times New Roman" w:hAnsi="Times New Roman"/>
          <w:sz w:val="24"/>
          <w:szCs w:val="24"/>
        </w:rPr>
        <w:t>Imagem - Catador de material reciclável. Fonte: (REVISTA IHU UNISINOS [2014]).</w:t>
      </w:r>
    </w:p>
    <w:p>
      <w:pPr>
        <w:pStyle w:val="Normal"/>
        <w:bidi w:val="0"/>
        <w:jc w:val="left"/>
        <w:rPr>
          <w:rFonts w:ascii="Tahoma" w:hAnsi="Tahoma"/>
          <w:sz w:val="18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bidi w:val="0"/>
        <w:jc w:val="left"/>
        <w:rPr>
          <w:rFonts w:ascii="Tahoma" w:hAnsi="Tahoma"/>
          <w:sz w:val="18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bidi w:val="0"/>
        <w:jc w:val="left"/>
        <w:rPr>
          <w:rFonts w:ascii="Tahoma" w:hAnsi="Tahoma"/>
          <w:sz w:val="18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bidi w:val="0"/>
        <w:jc w:val="both"/>
        <w:rPr>
          <w:rFonts w:ascii="Tahoma-Bold" w:hAnsi="Tahoma-Bold"/>
          <w:b/>
          <w:sz w:val="22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bidi w:val="0"/>
        <w:jc w:val="center"/>
        <w:rPr>
          <w:rFonts w:ascii="Tahoma-Bold" w:hAnsi="Tahoma-Bold"/>
          <w:b/>
          <w:sz w:val="22"/>
        </w:rPr>
      </w:pPr>
      <w:r>
        <w:rPr>
          <w:rFonts w:ascii="Times New Roman" w:hAnsi="Times New Roman"/>
          <w:b/>
          <w:sz w:val="28"/>
          <w:szCs w:val="28"/>
        </w:rPr>
        <w:t>Política Nacional de Resíduos Sólidos</w:t>
      </w:r>
    </w:p>
    <w:p>
      <w:pPr>
        <w:pStyle w:val="Normal"/>
        <w:bidi w:val="0"/>
        <w:jc w:val="both"/>
        <w:rPr>
          <w:rFonts w:ascii="Tahoma-Bold" w:hAnsi="Tahoma-Bold"/>
          <w:b/>
          <w:sz w:val="22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bidi w:val="0"/>
        <w:spacing w:lineRule="auto" w:line="276"/>
        <w:jc w:val="both"/>
        <w:rPr>
          <w:rFonts w:ascii="Tahoma" w:hAnsi="Tahoma"/>
          <w:sz w:val="22"/>
        </w:rPr>
      </w:pPr>
      <w:r>
        <w:rPr>
          <w:rFonts w:ascii="Times New Roman" w:hAnsi="Times New Roman"/>
          <w:sz w:val="24"/>
          <w:szCs w:val="24"/>
        </w:rPr>
        <w:t>A sociedade do consumo é também a sociedade dos resíduos: em 2018, o Brasil gerou mais de 79</w:t>
      </w:r>
    </w:p>
    <w:p>
      <w:pPr>
        <w:pStyle w:val="Normal"/>
        <w:bidi w:val="0"/>
        <w:spacing w:lineRule="auto" w:line="276"/>
        <w:jc w:val="both"/>
        <w:rPr>
          <w:rFonts w:ascii="Tahoma" w:hAnsi="Tahoma"/>
          <w:sz w:val="22"/>
        </w:rPr>
      </w:pPr>
      <w:r>
        <w:rPr>
          <w:rFonts w:ascii="Times New Roman" w:hAnsi="Times New Roman"/>
          <w:sz w:val="24"/>
          <w:szCs w:val="24"/>
        </w:rPr>
        <w:t>milhões de toneladas de lixo, dos quais 6 milhões não foram sequer recolhidas nos locais de geração.</w:t>
      </w:r>
    </w:p>
    <w:p>
      <w:pPr>
        <w:pStyle w:val="Normal"/>
        <w:bidi w:val="0"/>
        <w:spacing w:lineRule="auto" w:line="276"/>
        <w:jc w:val="both"/>
        <w:rPr>
          <w:rFonts w:ascii="Tahoma" w:hAnsi="Tahoma"/>
          <w:sz w:val="22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bidi w:val="0"/>
        <w:spacing w:lineRule="auto" w:line="276"/>
        <w:jc w:val="both"/>
        <w:rPr>
          <w:rFonts w:ascii="Tahoma" w:hAnsi="Tahoma"/>
          <w:sz w:val="22"/>
        </w:rPr>
      </w:pPr>
      <w:r>
        <w:rPr>
          <w:rFonts w:ascii="Times New Roman" w:hAnsi="Times New Roman"/>
          <w:sz w:val="24"/>
          <w:szCs w:val="24"/>
        </w:rPr>
        <w:t xml:space="preserve">Reduzir a quantidade de lixo e realizar seu descarte sem riscos para o ambiente ou para a saúde da  população é um dos grandes desafios da sustentabilidade. Para enfrentar esse desafio, o Brasil instituiu, em 2010, a Política Nacional de Resíduos Sólidos (PNRS), buscando estimular hábitos de consumo sustentável, incentivar a reciclagem e o reaproveitamento dos resíduos sólidos e criar estratégias legais para a destinação adequada dos  dejetos irrecuperáveis. A lei estabelece metas para a eliminação dos lixões (o prazo inicial era 2014, mas foi estendido para 2021) e prevê a criação de planos de gerenciamento de resíduos sólidos nos níveis estadual, municipal e regional. </w:t>
      </w:r>
    </w:p>
    <w:p>
      <w:pPr>
        <w:pStyle w:val="Normal"/>
        <w:bidi w:val="0"/>
        <w:spacing w:lineRule="auto" w:line="276"/>
        <w:jc w:val="both"/>
        <w:rPr>
          <w:rFonts w:ascii="Tahoma" w:hAnsi="Tahoma"/>
          <w:sz w:val="22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bidi w:val="0"/>
        <w:spacing w:lineRule="auto" w:line="276"/>
        <w:jc w:val="both"/>
        <w:rPr>
          <w:rFonts w:ascii="Tahoma" w:hAnsi="Tahoma"/>
          <w:sz w:val="22"/>
        </w:rPr>
      </w:pPr>
      <w:r>
        <w:rPr>
          <w:rFonts w:ascii="Times New Roman" w:hAnsi="Times New Roman"/>
          <w:sz w:val="24"/>
          <w:szCs w:val="24"/>
        </w:rPr>
        <w:t>Os catadores de materiais recicláveis foram contemplados por essa legislação, com o objetivo  de facilitar a criação de associações ou cooperativas de forma que ampliem sua capacidade de atuação. A PNRS compartilha a responsabilidade pela gestão do lixo entre os diferentes setores envolvidos. Ao governo cabe fiscalizar e garantir a infraestrutura adequada para o descarte. O conjunto da população, por sua vez, tem como incumbência separar seus resíduos e descartá-los de maneira adequada.</w:t>
      </w:r>
    </w:p>
    <w:p>
      <w:pPr>
        <w:pStyle w:val="Normal"/>
        <w:bidi w:val="0"/>
        <w:spacing w:lineRule="auto" w:line="276"/>
        <w:jc w:val="both"/>
        <w:rPr>
          <w:rFonts w:ascii="Tahoma" w:hAnsi="Tahoma"/>
          <w:sz w:val="22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bidi w:val="0"/>
        <w:spacing w:lineRule="auto" w:line="276"/>
        <w:jc w:val="both"/>
        <w:rPr>
          <w:rFonts w:ascii="Tahoma" w:hAnsi="Tahoma"/>
          <w:sz w:val="22"/>
        </w:rPr>
      </w:pPr>
      <w:r>
        <w:rPr>
          <w:rFonts w:ascii="Times New Roman" w:hAnsi="Times New Roman"/>
          <w:sz w:val="24"/>
          <w:szCs w:val="24"/>
        </w:rPr>
        <w:t>Algumas empresas do setor privado devem assumir a coleta dos produtos que fabricam, distribuem ou comercializam para reaproveitamento ou para descarte, modelo conhecido como logística reversa:</w:t>
      </w:r>
    </w:p>
    <w:p>
      <w:pPr>
        <w:pStyle w:val="Normal"/>
        <w:bidi w:val="0"/>
        <w:spacing w:lineRule="auto" w:line="276"/>
        <w:jc w:val="both"/>
        <w:rPr>
          <w:rFonts w:ascii="Tahoma" w:hAnsi="Tahoma"/>
          <w:sz w:val="22"/>
        </w:rPr>
      </w:pPr>
      <w:r>
        <w:rPr>
          <w:rFonts w:ascii="Times New Roman" w:hAnsi="Times New Roman"/>
          <w:sz w:val="24"/>
          <w:szCs w:val="24"/>
        </w:rPr>
        <w:t>“</w:t>
      </w:r>
      <w:r>
        <w:rPr>
          <w:rFonts w:ascii="Times New Roman" w:hAnsi="Times New Roman"/>
          <w:sz w:val="24"/>
          <w:szCs w:val="24"/>
        </w:rPr>
        <w:t>Art. 33. São obrigados a estruturar e implementar sistemas de logística reversa, mediante retorno dos produtos após o uso pelo consumidor, de forma independente do serviço público de limpeza urbana e de manejo dos resíduos sólidos, os fabricantes, importadores, distribuidores e comerciantes de:</w:t>
      </w:r>
    </w:p>
    <w:p>
      <w:pPr>
        <w:pStyle w:val="Normal"/>
        <w:bidi w:val="0"/>
        <w:spacing w:lineRule="auto" w:line="276"/>
        <w:jc w:val="both"/>
        <w:rPr>
          <w:rFonts w:ascii="Tahoma" w:hAnsi="Tahoma"/>
          <w:sz w:val="22"/>
        </w:rPr>
      </w:pPr>
      <w:r>
        <w:rPr>
          <w:rFonts w:ascii="Times New Roman" w:hAnsi="Times New Roman"/>
          <w:sz w:val="24"/>
          <w:szCs w:val="24"/>
        </w:rPr>
        <w:t>I. agrotóxicos, seus resíduos e embalagens, assim como outros produtos cuja embalagem, após o</w:t>
      </w:r>
    </w:p>
    <w:p>
      <w:pPr>
        <w:pStyle w:val="Normal"/>
        <w:bidi w:val="0"/>
        <w:spacing w:lineRule="auto" w:line="276"/>
        <w:jc w:val="both"/>
        <w:rPr>
          <w:rFonts w:ascii="Tahoma" w:hAnsi="Tahoma"/>
          <w:sz w:val="22"/>
        </w:rPr>
      </w:pPr>
      <w:r>
        <w:rPr>
          <w:rFonts w:ascii="Times New Roman" w:hAnsi="Times New Roman"/>
          <w:sz w:val="24"/>
          <w:szCs w:val="24"/>
        </w:rPr>
        <w:t>uso, constitua resíduo perigoso [...];</w:t>
      </w:r>
    </w:p>
    <w:p>
      <w:pPr>
        <w:pStyle w:val="Normal"/>
        <w:bidi w:val="0"/>
        <w:spacing w:lineRule="auto" w:line="276"/>
        <w:jc w:val="both"/>
        <w:rPr>
          <w:rFonts w:ascii="Tahoma" w:hAnsi="Tahoma"/>
          <w:sz w:val="22"/>
        </w:rPr>
      </w:pPr>
      <w:r>
        <w:rPr>
          <w:rFonts w:ascii="Times New Roman" w:hAnsi="Times New Roman"/>
          <w:sz w:val="24"/>
          <w:szCs w:val="24"/>
        </w:rPr>
        <w:t>II. pilhas e baterias;</w:t>
      </w:r>
    </w:p>
    <w:p>
      <w:pPr>
        <w:pStyle w:val="Normal"/>
        <w:bidi w:val="0"/>
        <w:spacing w:lineRule="auto" w:line="276"/>
        <w:jc w:val="both"/>
        <w:rPr>
          <w:rFonts w:ascii="Tahoma" w:hAnsi="Tahoma"/>
          <w:sz w:val="22"/>
        </w:rPr>
      </w:pPr>
      <w:r>
        <w:rPr>
          <w:rFonts w:ascii="Times New Roman" w:hAnsi="Times New Roman"/>
          <w:sz w:val="24"/>
          <w:szCs w:val="24"/>
        </w:rPr>
        <w:t>III. pneus;</w:t>
      </w:r>
    </w:p>
    <w:p>
      <w:pPr>
        <w:pStyle w:val="Normal"/>
        <w:bidi w:val="0"/>
        <w:spacing w:lineRule="auto" w:line="276"/>
        <w:jc w:val="both"/>
        <w:rPr>
          <w:rFonts w:ascii="Tahoma" w:hAnsi="Tahoma"/>
          <w:sz w:val="22"/>
        </w:rPr>
      </w:pPr>
      <w:r>
        <w:rPr>
          <w:rFonts w:ascii="Times New Roman" w:hAnsi="Times New Roman"/>
          <w:sz w:val="24"/>
          <w:szCs w:val="24"/>
        </w:rPr>
        <w:t>IV. óleos lubrificantes, seus resíduos e embalagens;</w:t>
      </w:r>
    </w:p>
    <w:p>
      <w:pPr>
        <w:pStyle w:val="Normal"/>
        <w:bidi w:val="0"/>
        <w:spacing w:lineRule="auto" w:line="276"/>
        <w:jc w:val="both"/>
        <w:rPr>
          <w:rFonts w:ascii="Tahoma" w:hAnsi="Tahoma"/>
          <w:sz w:val="22"/>
        </w:rPr>
      </w:pPr>
      <w:r>
        <w:rPr>
          <w:rFonts w:ascii="Times New Roman" w:hAnsi="Times New Roman"/>
          <w:sz w:val="24"/>
          <w:szCs w:val="24"/>
        </w:rPr>
        <w:t>V. lâmpadas fluorescentes, de vapor de sódio e mercúrio e de luz mista;</w:t>
      </w:r>
    </w:p>
    <w:p>
      <w:pPr>
        <w:pStyle w:val="Normal"/>
        <w:bidi w:val="0"/>
        <w:spacing w:lineRule="auto" w:line="276"/>
        <w:jc w:val="both"/>
        <w:rPr>
          <w:rFonts w:ascii="Tahoma" w:hAnsi="Tahoma"/>
          <w:sz w:val="22"/>
        </w:rPr>
      </w:pPr>
      <w:r>
        <w:rPr>
          <w:rFonts w:ascii="Times New Roman" w:hAnsi="Times New Roman"/>
          <w:sz w:val="24"/>
          <w:szCs w:val="24"/>
        </w:rPr>
        <w:t>VI. produtos eletroeletrônicos e seus componentes.”</w:t>
      </w:r>
    </w:p>
    <w:p>
      <w:pPr>
        <w:pStyle w:val="Normal"/>
        <w:bidi w:val="0"/>
        <w:spacing w:lineRule="auto" w:line="276"/>
        <w:jc w:val="both"/>
        <w:rPr>
          <w:rFonts w:ascii="Tahoma" w:hAnsi="Tahoma"/>
          <w:sz w:val="18"/>
        </w:rPr>
      </w:pPr>
      <w:r>
        <w:rPr>
          <w:rFonts w:ascii="Times New Roman" w:hAnsi="Times New Roman"/>
          <w:sz w:val="24"/>
          <w:szCs w:val="24"/>
        </w:rPr>
        <w:t>BRASIL. Lei nº 12.305, de 2 de agosto de 2010. Brasília: Presidência da República, 2010.</w:t>
      </w:r>
    </w:p>
    <w:p>
      <w:pPr>
        <w:pStyle w:val="Normal"/>
        <w:bidi w:val="0"/>
        <w:spacing w:lineRule="auto" w:line="276"/>
        <w:jc w:val="both"/>
        <w:rPr>
          <w:rFonts w:ascii="Tahoma" w:hAnsi="Tahoma"/>
          <w:sz w:val="22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bidi w:val="0"/>
        <w:spacing w:lineRule="auto" w:line="276"/>
        <w:jc w:val="both"/>
        <w:rPr>
          <w:rFonts w:ascii="Tahoma" w:hAnsi="Tahoma"/>
          <w:sz w:val="22"/>
        </w:rPr>
      </w:pPr>
      <w:r>
        <w:rPr>
          <w:rFonts w:ascii="Times New Roman" w:hAnsi="Times New Roman"/>
          <w:sz w:val="24"/>
          <w:szCs w:val="24"/>
        </w:rPr>
        <w:t>Essa legislação trouxe avanços importantes, mas ainda falta muito para que suas diretrizes se tornem realidade: a maior parte dos municípios brasileiros ainda não estabeleceu planos de gestão de resíduos e existem pelo menos três mil lixões ativos distribuídos por 1600 municípios. Essas montanhas de lixo depositadas a céu aberto causam graves problemas socioambientais: a deterioração dos materiais exala odores fortes, contamina as águas superficiais e subterrâneas pela infiltração do chorume - líquido proveniente da decomposição do lixo - e é foco de transmissão de doenças à população do seu entorno. Em 2018, pouco menos de 60% dos resíduos coletados no Brasil foram destinados a aterros sanitários, nos quais o lixo é compactado e coberto diariamente com uma camada de terra, oferecendo menor risco à saúde pública. Os aterros podem ainda explorar o biogás, produzido pela decomposição de matéria orgânica depositada para a geração de eletricidade.</w:t>
      </w:r>
    </w:p>
    <w:p>
      <w:pPr>
        <w:pStyle w:val="Normal"/>
        <w:bidi w:val="0"/>
        <w:spacing w:lineRule="auto" w:line="276"/>
        <w:jc w:val="both"/>
        <w:rPr>
          <w:rFonts w:ascii="Tahoma" w:hAnsi="Tahoma"/>
          <w:sz w:val="22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bidi w:val="0"/>
        <w:spacing w:lineRule="auto" w:line="276"/>
        <w:jc w:val="both"/>
        <w:rPr>
          <w:rFonts w:ascii="Tahoma-Bold" w:hAnsi="Tahoma-Bold"/>
          <w:b/>
          <w:sz w:val="22"/>
        </w:rPr>
      </w:pPr>
      <w:r>
        <w:rPr>
          <w:rFonts w:ascii="Times New Roman" w:hAnsi="Times New Roman"/>
          <w:b/>
          <w:sz w:val="24"/>
          <w:szCs w:val="24"/>
        </w:rPr>
        <w:t>Atividade</w:t>
      </w:r>
    </w:p>
    <w:p>
      <w:pPr>
        <w:pStyle w:val="Normal"/>
        <w:bidi w:val="0"/>
        <w:spacing w:lineRule="auto" w:line="276"/>
        <w:jc w:val="both"/>
        <w:rPr>
          <w:rFonts w:ascii="Tahoma" w:hAnsi="Tahoma"/>
          <w:sz w:val="22"/>
        </w:rPr>
      </w:pPr>
      <w:r>
        <w:rPr>
          <w:rFonts w:ascii="Times New Roman" w:hAnsi="Times New Roman"/>
          <w:sz w:val="24"/>
          <w:szCs w:val="24"/>
        </w:rPr>
        <w:t>Entre os objetivos da PNRS estão: a não geração, a redução, a reutilização, a reciclagem, o tratamento dos resíduos sólidos e a disposição final ambientalmente adequada dos rejeitos. Para conferir se você e sua comunidade estão contribuindo para a efetivação desses objetivos, realize as seguintes etapas:</w:t>
      </w:r>
    </w:p>
    <w:p>
      <w:pPr>
        <w:pStyle w:val="Normal"/>
        <w:bidi w:val="0"/>
        <w:spacing w:lineRule="auto" w:line="276"/>
        <w:jc w:val="both"/>
        <w:rPr>
          <w:rFonts w:ascii="Tahoma" w:hAnsi="Tahoma"/>
          <w:sz w:val="22"/>
        </w:rPr>
      </w:pPr>
      <w:r>
        <w:rPr>
          <w:rFonts w:ascii="Times New Roman" w:hAnsi="Times New Roman"/>
          <w:sz w:val="24"/>
          <w:szCs w:val="24"/>
        </w:rPr>
        <w:t>1 − Busquem saber se há no município em que a escola está situada: um lixão em atividade; um</w:t>
      </w:r>
      <w:r>
        <w:rPr>
          <w:rFonts w:ascii="Tahoma" w:hAnsi="Tahoma"/>
          <w:sz w:val="22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programa público de coleta e reciclagem de resíduos; uma instituição que realize a coleta de óleo usado no preparo de alimentos; um ponto de coleta de pilhas e baterias, pneus, lâmpadas e produtos eletrônicos.</w:t>
      </w:r>
    </w:p>
    <w:p>
      <w:pPr>
        <w:pStyle w:val="Normal"/>
        <w:bidi w:val="0"/>
        <w:spacing w:lineRule="auto" w:line="276"/>
        <w:jc w:val="both"/>
        <w:rPr>
          <w:rFonts w:ascii="Tahoma" w:hAnsi="Tahoma"/>
          <w:sz w:val="22"/>
        </w:rPr>
      </w:pPr>
      <w:r>
        <w:rPr>
          <w:rFonts w:ascii="Times New Roman" w:hAnsi="Times New Roman"/>
          <w:sz w:val="24"/>
          <w:szCs w:val="24"/>
        </w:rPr>
        <w:t>2 - Para cada objetivo da PNRS anteriormente citado, os estudantes, organizados em grupos de 4</w:t>
      </w:r>
      <w:r>
        <w:rPr>
          <w:rFonts w:ascii="Tahoma" w:hAnsi="Tahoma"/>
          <w:sz w:val="22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integrantes, devem criar um cartaz. Cada estudante vai escrever uma iniciativa que realiza ou que pretende realizar para atender esse objetivo. Vocês podem levar em conta as atribuições da prefeitura e das empresas do município.</w:t>
      </w:r>
    </w:p>
    <w:p>
      <w:pPr>
        <w:pStyle w:val="Normal"/>
        <w:bidi w:val="0"/>
        <w:spacing w:lineRule="auto" w:line="276"/>
        <w:jc w:val="both"/>
        <w:rPr>
          <w:rFonts w:ascii="Tahoma" w:hAnsi="Tahoma"/>
          <w:sz w:val="22"/>
        </w:rPr>
      </w:pPr>
      <w:r>
        <w:rPr>
          <w:rFonts w:ascii="Times New Roman" w:hAnsi="Times New Roman"/>
          <w:sz w:val="24"/>
          <w:szCs w:val="24"/>
        </w:rPr>
        <w:t>3 − Por fim, ilustrem e fixem os cartazes em um local visível da escola. Aproveitem os cartazes para divulgar os endereços de coleta e os contatos das empresas que atuam na reciclagem de resíduos especiais.</w:t>
      </w:r>
    </w:p>
    <w:p>
      <w:pPr>
        <w:pStyle w:val="Normal"/>
        <w:bidi w:val="0"/>
        <w:spacing w:lineRule="auto" w:line="276"/>
        <w:jc w:val="both"/>
        <w:rPr>
          <w:rFonts w:ascii="Tahoma" w:hAnsi="Tahoma"/>
          <w:sz w:val="22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bidi w:val="0"/>
        <w:spacing w:lineRule="auto" w:line="276"/>
        <w:jc w:val="both"/>
        <w:rPr>
          <w:rFonts w:ascii="Tahoma" w:hAnsi="Tahoma"/>
          <w:sz w:val="22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bidi w:val="0"/>
        <w:spacing w:lineRule="auto" w:line="276"/>
        <w:jc w:val="both"/>
        <w:rPr>
          <w:rFonts w:ascii="Tahoma-Bold" w:hAnsi="Tahoma-Bold"/>
          <w:b/>
          <w:sz w:val="22"/>
        </w:rPr>
      </w:pPr>
      <w:r>
        <w:rPr>
          <w:rFonts w:ascii="Times New Roman" w:hAnsi="Times New Roman"/>
          <w:b/>
          <w:sz w:val="24"/>
          <w:szCs w:val="24"/>
        </w:rPr>
        <w:t>Atividade</w:t>
      </w:r>
    </w:p>
    <w:p>
      <w:pPr>
        <w:pStyle w:val="Normal"/>
        <w:bidi w:val="0"/>
        <w:spacing w:lineRule="auto" w:line="276"/>
        <w:jc w:val="both"/>
        <w:rPr>
          <w:rFonts w:ascii="Tahoma" w:hAnsi="Tahoma"/>
          <w:sz w:val="22"/>
        </w:rPr>
      </w:pPr>
      <w:r>
        <w:rPr>
          <w:rFonts w:ascii="Times New Roman" w:hAnsi="Times New Roman"/>
          <w:sz w:val="24"/>
          <w:szCs w:val="24"/>
        </w:rPr>
        <w:t>1 − Em 2018, o Painel de Ciência Climática da ONU divulgou as consequências previstas caso as</w:t>
      </w:r>
    </w:p>
    <w:p>
      <w:pPr>
        <w:pStyle w:val="Normal"/>
        <w:bidi w:val="0"/>
        <w:spacing w:lineRule="auto" w:line="276"/>
        <w:jc w:val="both"/>
        <w:rPr>
          <w:rFonts w:ascii="Tahoma" w:hAnsi="Tahoma"/>
          <w:sz w:val="22"/>
        </w:rPr>
      </w:pPr>
      <w:r>
        <w:rPr>
          <w:rFonts w:ascii="Times New Roman" w:hAnsi="Times New Roman"/>
          <w:sz w:val="24"/>
          <w:szCs w:val="24"/>
        </w:rPr>
        <w:t>temperaturas globais subam 2 ◦ C. Entre elas, algumas dizem respeito à biodiversidade: nesse cenário, entre as 105 mil espécies estudadas, 16% das plantas, 8% dos vertebrados e 18% dos insetos podem perder metade de sua distribuição geográfica. Reflita sobre essas informações e procure explicar a relação entre aquecimento global e biodiversidade.</w:t>
      </w:r>
    </w:p>
    <w:p>
      <w:pPr>
        <w:pStyle w:val="Normal"/>
        <w:bidi w:val="0"/>
        <w:spacing w:lineRule="auto" w:line="276"/>
        <w:jc w:val="both"/>
        <w:rPr>
          <w:rFonts w:ascii="Tahoma" w:hAnsi="Tahoma"/>
          <w:sz w:val="22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bidi w:val="0"/>
        <w:spacing w:lineRule="auto" w:line="276"/>
        <w:jc w:val="both"/>
        <w:rPr>
          <w:rFonts w:ascii="Tahoma" w:hAnsi="Tahoma"/>
          <w:sz w:val="22"/>
        </w:rPr>
      </w:pPr>
      <w:r>
        <w:rPr>
          <w:rFonts w:ascii="Times New Roman" w:hAnsi="Times New Roman"/>
          <w:sz w:val="24"/>
          <w:szCs w:val="24"/>
        </w:rPr>
        <w:t>2 − Em nossas atividades diárias contribuímos para a emissão de gases de efeito estufa. Na internet, há diversos sites que disponibilizam calculadoras para estimar a emissão de metano (CH4) e dióxido de carbono (CO2) causada pelos meios de transporte, pelo consumo de energia e pela decomposição de resíduos sólidos. Procure um site que realize o cálculo das suas emissões e descubra quantas árvores seriam necessárias para compensá-las. Em sala, compare seu resultado com o dos colegas e escreva no caderno (tablet, celular etc.) cinco medidas que você poderia adotar para diminuir a sua emissão de gases de efeito estufa.</w:t>
      </w:r>
    </w:p>
    <w:p>
      <w:pPr>
        <w:pStyle w:val="Normal"/>
        <w:bidi w:val="0"/>
        <w:spacing w:lineRule="auto" w:line="276"/>
        <w:jc w:val="both"/>
        <w:rPr>
          <w:rFonts w:ascii="Tahoma" w:hAnsi="Tahoma"/>
          <w:sz w:val="22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bidi w:val="0"/>
        <w:spacing w:lineRule="auto" w:line="276"/>
        <w:jc w:val="both"/>
        <w:rPr>
          <w:rFonts w:ascii="Tahoma" w:hAnsi="Tahoma"/>
          <w:sz w:val="22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bidi w:val="0"/>
        <w:spacing w:lineRule="auto" w:line="276"/>
        <w:jc w:val="both"/>
        <w:rPr>
          <w:rFonts w:ascii="Tahoma" w:hAnsi="Tahoma"/>
          <w:sz w:val="22"/>
        </w:rPr>
      </w:pPr>
      <w:r>
        <w:rPr>
          <w:rFonts w:ascii="Times New Roman" w:hAnsi="Times New Roman"/>
          <w:sz w:val="24"/>
          <w:szCs w:val="24"/>
        </w:rPr>
        <w:t>Bons estudos e reflexões!</w:t>
      </w:r>
    </w:p>
    <w:sect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  <w:docGrid w:type="default" w:linePitch="312" w:charSpace="4294961151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Tahoma-Bold">
    <w:charset w:val="00"/>
    <w:family w:val="roman"/>
    <w:pitch w:val="variable"/>
  </w:font>
  <w:font w:name="Arial">
    <w:charset w:val="00"/>
    <w:family w:val="roman"/>
    <w:pitch w:val="variable"/>
  </w:font>
  <w:font w:name="Times New Roman">
    <w:charset w:val="01"/>
    <w:family w:val="roman"/>
    <w:pitch w:val="variable"/>
  </w:font>
  <w:font w:name="Tahoma">
    <w:charset w:val="00"/>
    <w:family w:val="roman"/>
    <w:pitch w:val="variable"/>
  </w:font>
</w:fonts>
</file>

<file path=word/settings.xml><?xml version="1.0" encoding="utf-8"?>
<w:settings xmlns:w="http://schemas.openxmlformats.org/wordprocessingml/2006/main">
  <w:zoom w:percent="90"/>
  <w:defaultTabStop w:val="709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Lucida Sans"/>
        <w:kern w:val="2"/>
        <w:sz w:val="24"/>
        <w:szCs w:val="24"/>
        <w:lang w:val="pt-BR" w:eastAsia="zh-CN" w:bidi="hi-IN"/>
      </w:rPr>
    </w:rPrDefault>
    <w:pPrDefault>
      <w:pPr>
        <w:widowControl/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Liberation Serif" w:hAnsi="Liberation Serif" w:eastAsia="NSimSun" w:cs="Lucida Sans"/>
      <w:color w:val="auto"/>
      <w:kern w:val="2"/>
      <w:sz w:val="24"/>
      <w:szCs w:val="24"/>
      <w:lang w:val="pt-BR" w:eastAsia="zh-CN" w:bidi="hi-IN"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Corpodo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orpodotexto"/>
    <w:pPr/>
    <w:rPr>
      <w:rFonts w:cs="Lucida Sans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Lucida Sans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png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17</TotalTime>
  <Application>LibreOffice/7.5.5.2$Windows_X86_64 LibreOffice_project/ca8fe7424262805f223b9a2334bc7181abbcbf5e</Application>
  <AppVersion>15.0000</AppVersion>
  <Pages>3</Pages>
  <Words>973</Words>
  <Characters>5365</Characters>
  <CharactersWithSpaces>6329</CharactersWithSpaces>
  <Paragraphs>42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2023-09-24T12:00:37Z</dcterms:created>
  <dc:creator/>
  <dc:description/>
  <dc:language>pt-BR</dc:language>
  <cp:lastModifiedBy/>
  <dcterms:modified xsi:type="dcterms:W3CDTF">2023-09-24T12:17:57Z</dcterms:modified>
  <cp:revision>2</cp:revision>
  <dc:subject/>
  <dc:title/>
</cp:coreProperties>
</file>